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616" w:firstLineChars="200"/>
        <w:jc w:val="center"/>
        <w:outlineLvl w:val="0"/>
        <w:rPr>
          <w:rFonts w:hint="eastAsia" w:ascii="宋体" w:hAnsi="宋体" w:cs="宋体"/>
          <w:b/>
          <w:bCs w:val="0"/>
          <w:kern w:val="36"/>
          <w:sz w:val="32"/>
          <w:szCs w:val="32"/>
        </w:rPr>
      </w:pPr>
      <w:r>
        <w:rPr>
          <w:rFonts w:hint="eastAsia" w:ascii="黑体" w:eastAsia="黑体"/>
          <w:b/>
          <w:bCs w:val="0"/>
          <w:color w:val="000000"/>
          <w:sz w:val="32"/>
          <w:szCs w:val="32"/>
        </w:rPr>
        <w:t>《智能微电网技术》课程标准</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一、课程信息</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课程名称：智能微电网技术</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lang w:val="en-US" w:eastAsia="zh-CN"/>
        </w:rPr>
      </w:pPr>
      <w:r>
        <w:rPr>
          <w:rFonts w:hint="eastAsia" w:ascii="宋体" w:hAnsi="宋体" w:eastAsia="宋体" w:cs="宋体"/>
          <w:bCs/>
          <w:color w:val="000000"/>
          <w:kern w:val="36"/>
          <w:sz w:val="24"/>
          <w:szCs w:val="24"/>
        </w:rPr>
        <w:t>课程编码：430301243</w:t>
      </w:r>
      <w:r>
        <w:rPr>
          <w:rFonts w:hint="eastAsia" w:ascii="宋体" w:hAnsi="宋体" w:cs="宋体"/>
          <w:bCs/>
          <w:color w:val="000000"/>
          <w:kern w:val="36"/>
          <w:sz w:val="24"/>
          <w:szCs w:val="24"/>
          <w:lang w:val="en-US" w:eastAsia="zh-CN"/>
        </w:rPr>
        <w:t xml:space="preserve">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适用专业：光伏工程技术</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课程学时：54学时</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课程学分：3学分</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二、课程定位</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val="0"/>
          <w:bCs w:val="0"/>
          <w:kern w:val="36"/>
          <w:sz w:val="24"/>
          <w:szCs w:val="24"/>
        </w:rPr>
      </w:pPr>
      <w:r>
        <w:rPr>
          <w:rFonts w:hint="eastAsia" w:ascii="宋体" w:hAnsi="宋体" w:eastAsia="宋体" w:cs="宋体"/>
          <w:b w:val="0"/>
          <w:bCs w:val="0"/>
          <w:color w:val="000000"/>
          <w:kern w:val="36"/>
          <w:sz w:val="24"/>
          <w:szCs w:val="24"/>
        </w:rPr>
        <w:t>（一）课程性质</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 w:val="0"/>
          <w:bCs w:val="0"/>
          <w:color w:val="000000"/>
          <w:kern w:val="36"/>
          <w:sz w:val="24"/>
          <w:szCs w:val="24"/>
          <w:lang w:eastAsia="zh-CN"/>
        </w:rPr>
        <w:t>《智能</w:t>
      </w:r>
      <w:r>
        <w:rPr>
          <w:rFonts w:hint="eastAsia" w:ascii="宋体" w:hAnsi="宋体" w:eastAsia="宋体" w:cs="宋体"/>
          <w:b w:val="0"/>
          <w:bCs w:val="0"/>
          <w:color w:val="000000"/>
          <w:kern w:val="36"/>
          <w:sz w:val="24"/>
          <w:szCs w:val="24"/>
        </w:rPr>
        <w:t>微电网技术</w:t>
      </w:r>
      <w:r>
        <w:rPr>
          <w:rFonts w:hint="eastAsia" w:ascii="宋体" w:hAnsi="宋体" w:eastAsia="宋体" w:cs="宋体"/>
          <w:b w:val="0"/>
          <w:bCs w:val="0"/>
          <w:color w:val="000000"/>
          <w:kern w:val="36"/>
          <w:sz w:val="24"/>
          <w:szCs w:val="24"/>
          <w:lang w:eastAsia="zh-CN"/>
        </w:rPr>
        <w:t>》</w:t>
      </w:r>
      <w:r>
        <w:rPr>
          <w:rFonts w:hint="eastAsia" w:ascii="宋体" w:hAnsi="宋体" w:eastAsia="宋体" w:cs="宋体"/>
          <w:b w:val="0"/>
          <w:bCs w:val="0"/>
          <w:color w:val="000000"/>
          <w:kern w:val="36"/>
          <w:sz w:val="24"/>
          <w:szCs w:val="24"/>
        </w:rPr>
        <w:t>是光</w:t>
      </w:r>
      <w:r>
        <w:rPr>
          <w:rFonts w:hint="eastAsia" w:ascii="宋体" w:hAnsi="宋体" w:eastAsia="宋体" w:cs="宋体"/>
          <w:bCs/>
          <w:color w:val="000000"/>
          <w:kern w:val="36"/>
          <w:sz w:val="24"/>
          <w:szCs w:val="24"/>
        </w:rPr>
        <w:t>伏工程专业的一门专业核心课。本课程的主要教学目的是使学生系统的掌握微电网的组成，微电网的运行控制方法及微电网能量管理系统中所需的相关知识及技能，是学做合一、任务驱动型课程。通过本课程的学习，学生理解智能微电网的概念，掌握智能微电网的运行与控制，智能微电网的储能技术、过电流保护与接地技术、通信与管理技术以及智能微电网的规划设计等，为将来从事专业相关工作打下扎实的基础。</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（二）课程任务</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本课程注重基本理论、基本方法和基本技能的学习及素质教育，激发学生的学习兴趣，在启发、提示下使其自主地、全面地理解控制技术的基本理论和基本方法，提高学生的思维能力和实际操作技能，增强他们理论联系实际的能力，培养学生的创新精神，使学生养成善于观察、独立分析和解决问题的习惯；以提高技能、磨砺意志、活跃思维和扩展视野为基本目标。</w:t>
      </w:r>
    </w:p>
    <w:p>
      <w:pPr>
        <w:pStyle w:val="24"/>
        <w:keepNext w:val="0"/>
        <w:keepLines w:val="0"/>
        <w:pageBreakBefore w:val="0"/>
        <w:widowControl/>
        <w:numPr>
          <w:ilvl w:val="0"/>
          <w:numId w:val="1"/>
        </w:numPr>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color w:val="000000"/>
          <w:kern w:val="36"/>
          <w:sz w:val="24"/>
          <w:szCs w:val="24"/>
        </w:rPr>
      </w:pPr>
      <w:r>
        <w:rPr>
          <w:rFonts w:hint="eastAsia" w:ascii="宋体" w:hAnsi="宋体" w:eastAsia="宋体" w:cs="宋体"/>
          <w:b/>
          <w:bCs/>
          <w:color w:val="000000"/>
          <w:kern w:val="36"/>
          <w:sz w:val="24"/>
          <w:szCs w:val="24"/>
        </w:rPr>
        <w:t>课程设计</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b w:val="0"/>
          <w:bCs w:val="0"/>
          <w:color w:val="000000"/>
          <w:kern w:val="36"/>
          <w:sz w:val="24"/>
          <w:szCs w:val="24"/>
        </w:rPr>
        <w:t>（一）设计理念</w:t>
      </w:r>
    </w:p>
    <w:p>
      <w:pPr>
        <w:pStyle w:val="24"/>
        <w:keepNext w:val="0"/>
        <w:keepLines w:val="0"/>
        <w:pageBreakBefore w:val="0"/>
        <w:widowControl/>
        <w:numPr>
          <w:ilvl w:val="0"/>
          <w:numId w:val="0"/>
        </w:numPr>
        <w:kinsoku/>
        <w:wordWrap/>
        <w:overflowPunct/>
        <w:topLinePunct w:val="0"/>
        <w:autoSpaceDE/>
        <w:autoSpaceDN/>
        <w:bidi w:val="0"/>
        <w:spacing w:before="0" w:after="0" w:line="400" w:lineRule="exact"/>
        <w:ind w:left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课程以完成课程学习任务和培养后续课程学习能力为导向，遵循以下教育教学理</w:t>
      </w:r>
    </w:p>
    <w:p>
      <w:pPr>
        <w:pStyle w:val="24"/>
        <w:keepNext w:val="0"/>
        <w:keepLines w:val="0"/>
        <w:pageBreakBefore w:val="0"/>
        <w:widowControl/>
        <w:numPr>
          <w:ilvl w:val="0"/>
          <w:numId w:val="0"/>
        </w:numPr>
        <w:kinsoku/>
        <w:wordWrap/>
        <w:overflowPunct/>
        <w:topLinePunct w:val="0"/>
        <w:autoSpaceDE/>
        <w:autoSpaceDN/>
        <w:bidi w:val="0"/>
        <w:spacing w:before="0" w:after="0" w:line="400" w:lineRule="exact"/>
        <w:jc w:val="both"/>
        <w:textAlignment w:val="auto"/>
        <w:outlineLvl w:val="0"/>
        <w:rPr>
          <w:rFonts w:hint="eastAsia" w:ascii="宋体" w:hAnsi="宋体" w:eastAsia="宋体" w:cs="宋体"/>
          <w:b/>
          <w:bCs/>
          <w:color w:val="000000"/>
          <w:kern w:val="36"/>
          <w:sz w:val="24"/>
          <w:szCs w:val="24"/>
        </w:rPr>
      </w:pPr>
      <w:r>
        <w:rPr>
          <w:rFonts w:hint="eastAsia" w:ascii="宋体" w:hAnsi="宋体" w:eastAsia="宋体" w:cs="宋体"/>
          <w:sz w:val="24"/>
          <w:szCs w:val="24"/>
          <w:lang w:val="en-US" w:eastAsia="zh-CN"/>
        </w:rPr>
        <w:t>念：</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 w:val="0"/>
          <w:bCs w:val="0"/>
          <w:color w:val="000000"/>
          <w:kern w:val="36"/>
          <w:sz w:val="24"/>
          <w:szCs w:val="24"/>
        </w:rPr>
        <w:t>1.终身学习的教育</w:t>
      </w:r>
      <w:r>
        <w:rPr>
          <w:rFonts w:hint="eastAsia" w:ascii="宋体" w:hAnsi="宋体" w:eastAsia="宋体" w:cs="宋体"/>
          <w:bCs/>
          <w:color w:val="000000"/>
          <w:kern w:val="36"/>
          <w:sz w:val="24"/>
          <w:szCs w:val="24"/>
        </w:rPr>
        <w:t>观：培养学生终身发展的四项基础能力：学会认知、学会做事、学会共同生活、学会生存。教师必须坚定角色转变，从传授者转变为引导者，改变以“教”为中心的传统的教学方法，确立以“学”为中心，学生自主学习的教学理念；重视学生的学习权，使“教学”向“学习”转换；把学生塑造成自己教育自己的主体，学会学习，使受教育的人成为教育自己的人。</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2.多元智能的学生观：高职学生具有形象思维的智能结构特点，适宜以实践知识为学习起点的培养模式；在教学中，因材施教，按照学生的特点，发掘学习潜能，发展个性品质，学习实践知识和必需够用的理论知识；在课程学习过程中不要让学生再遭遇智慧关闭的经历，多让学生体验智慧开启和增强自信的经历，要把课程教学活动成为塑造成功者的教育过程。</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lang w:val="en-US" w:eastAsia="zh-CN"/>
        </w:rPr>
        <w:t>3</w:t>
      </w:r>
      <w:r>
        <w:rPr>
          <w:rFonts w:hint="eastAsia" w:ascii="宋体" w:hAnsi="宋体" w:eastAsia="宋体" w:cs="宋体"/>
          <w:bCs/>
          <w:color w:val="000000"/>
          <w:kern w:val="36"/>
          <w:sz w:val="24"/>
          <w:szCs w:val="24"/>
        </w:rPr>
        <w:t>.能力本位的质量观：课程的目标是培养完成综合性工作任务的职业能力。通过工作过程系统化的课程学习，学生在个人实践经验的基础上建构专业系统化知识，完成从初学者到高素质技术技能专门人才的职业能力发展。学生不仅要获得专业的职业技能、职业资格和必备的专业知识，更要获得自我发展的内化的职业能力，有能力在职业生涯中不断获得新的发展。</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lang w:val="en-US" w:eastAsia="zh-CN"/>
        </w:rPr>
        <w:t>4</w:t>
      </w:r>
      <w:r>
        <w:rPr>
          <w:rFonts w:hint="eastAsia" w:ascii="宋体" w:hAnsi="宋体" w:eastAsia="宋体" w:cs="宋体"/>
          <w:bCs/>
          <w:color w:val="000000"/>
          <w:kern w:val="36"/>
          <w:sz w:val="24"/>
          <w:szCs w:val="24"/>
        </w:rPr>
        <w:t>.过程导向的课程观：课程以理论和实践一体化的工作过程为导向，构建“工作过程完整”而不是“学科完整”的学习过程。从职业工作出发选择课程内容，并按照职业能力从易到难的顺序安排教学；课程内容首先强调获取完成工作任务的过程性知识，解决“怎么做”（经验）和“怎么做更好”（策略）的问题，然后是适度够用的陈述性知识（理论知识）。</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lang w:val="en-US" w:eastAsia="zh-CN"/>
        </w:rPr>
      </w:pPr>
      <w:r>
        <w:rPr>
          <w:rFonts w:hint="eastAsia" w:ascii="宋体" w:hAnsi="宋体" w:eastAsia="宋体" w:cs="宋体"/>
          <w:bCs/>
          <w:color w:val="000000"/>
          <w:kern w:val="36"/>
          <w:sz w:val="24"/>
          <w:szCs w:val="24"/>
        </w:rPr>
        <w:t>（二）设计思路</w:t>
      </w:r>
      <w:r>
        <w:rPr>
          <w:rFonts w:hint="eastAsia" w:ascii="宋体" w:hAnsi="宋体" w:cs="宋体"/>
          <w:bCs/>
          <w:color w:val="000000"/>
          <w:kern w:val="36"/>
          <w:sz w:val="24"/>
          <w:szCs w:val="24"/>
          <w:lang w:val="en-US" w:eastAsia="zh-CN"/>
        </w:rPr>
        <w:t xml:space="preserve"> </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课程依据上述设计理念，按照以下设计思路组织课程教学内容：</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1.校企合作组织课程重构：学校和企业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2.典型任务确定课程方案：分析</w:t>
      </w:r>
      <w:r>
        <w:rPr>
          <w:rFonts w:hint="eastAsia" w:ascii="宋体" w:hAnsi="宋体" w:eastAsia="宋体" w:cs="宋体"/>
          <w:bCs/>
          <w:color w:val="000000"/>
          <w:kern w:val="36"/>
          <w:sz w:val="24"/>
          <w:szCs w:val="24"/>
        </w:rPr>
        <w:t>智能微电网开发</w:t>
      </w:r>
      <w:r>
        <w:rPr>
          <w:rFonts w:hint="eastAsia" w:ascii="宋体" w:hAnsi="宋体" w:eastAsia="宋体" w:cs="宋体"/>
          <w:bCs/>
          <w:color w:val="000000"/>
          <w:spacing w:val="10"/>
          <w:kern w:val="36"/>
          <w:sz w:val="24"/>
          <w:szCs w:val="24"/>
          <w:lang w:val="en-US" w:eastAsia="zh-CN" w:bidi="ar-SA"/>
        </w:rPr>
        <w:t>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3.理实交替实施课程教学：遵循理论联系实际的教学原则，组织理实交替的学习课堂。以认识电子元件为学习起点，以教室、实训室为课堂，以实践为课程学习的支撑点，教学过程与案例实操过程密切结合，使学生具备一定的职业经验、实践知识以及初步理论知识；</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bCs/>
          <w:color w:val="000000"/>
          <w:spacing w:val="10"/>
          <w:kern w:val="36"/>
          <w:sz w:val="24"/>
          <w:szCs w:val="24"/>
          <w:lang w:val="en-US" w:eastAsia="zh-CN" w:bidi="ar-SA"/>
        </w:rPr>
      </w:pPr>
      <w:r>
        <w:rPr>
          <w:rFonts w:hint="eastAsia" w:ascii="宋体" w:hAnsi="宋体" w:eastAsia="宋体" w:cs="宋体"/>
          <w:bCs/>
          <w:color w:val="000000"/>
          <w:spacing w:val="10"/>
          <w:kern w:val="36"/>
          <w:sz w:val="24"/>
          <w:szCs w:val="24"/>
          <w:lang w:val="en-US" w:eastAsia="zh-CN" w:bidi="ar-SA"/>
        </w:rPr>
        <w:t>4.课程目标注重工作任务：以企业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kinsoku/>
        <w:wordWrap/>
        <w:overflowPunct/>
        <w:topLinePunct w:val="0"/>
        <w:autoSpaceDE/>
        <w:autoSpaceDN/>
        <w:bidi w:val="0"/>
        <w:spacing w:line="400" w:lineRule="exact"/>
        <w:ind w:firstLine="496" w:firstLineChars="200"/>
        <w:textAlignment w:val="auto"/>
        <w:rPr>
          <w:rFonts w:hint="eastAsia" w:ascii="宋体" w:hAnsi="宋体" w:eastAsia="宋体" w:cs="宋体"/>
          <w:kern w:val="36"/>
          <w:sz w:val="24"/>
          <w:szCs w:val="24"/>
        </w:rPr>
      </w:pPr>
      <w:r>
        <w:rPr>
          <w:rFonts w:hint="eastAsia" w:ascii="宋体" w:hAnsi="宋体" w:eastAsia="宋体" w:cs="宋体"/>
          <w:bCs/>
          <w:color w:val="000000"/>
          <w:spacing w:val="10"/>
          <w:kern w:val="36"/>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四、课程目标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（一）总体目标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通过该课程学习，了解智能微电网的体系结构、工作原理，通信方式、运行控制和维护、能量管理与监控等概念，从整体上把握智能微电网的软、硬件技术，最终能够掌握智能微电网系统分析、系统设计、建设与施工、运行与维护、管理等方面的基本方法及技能，培养科学的思维方法，灵活运用知识的能力，实验操作能力，使学生具有较强的发现问题、分析问题、解决问题的能力。</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（二）具体目标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1.素质（情感、态度、价值观）目标：</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（1）通过分组完成项目任务，培养学生团队协作精神，树立诚信意识，锻炼学生沟通交流的能力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（2）通过完成项目任务，培养学生分析问题、解决问题的能力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（3）养成利用书籍或通过网络获取相关信息的能力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（4）通过撰写报告，提高学生书面表达能力，培养创新思维能力</w:t>
      </w:r>
      <w:r>
        <w:rPr>
          <w:rFonts w:hint="eastAsia" w:ascii="宋体" w:hAnsi="宋体" w:eastAsia="宋体" w:cs="宋体"/>
          <w:kern w:val="36"/>
          <w:sz w:val="24"/>
          <w:szCs w:val="24"/>
          <w:lang w:eastAsia="zh-CN"/>
        </w:rPr>
        <w:t>；</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lang w:eastAsia="zh-CN"/>
        </w:rPr>
        <w:t>（</w:t>
      </w:r>
      <w:r>
        <w:rPr>
          <w:rFonts w:hint="eastAsia" w:ascii="宋体" w:hAnsi="宋体" w:eastAsia="宋体" w:cs="宋体"/>
          <w:kern w:val="36"/>
          <w:sz w:val="24"/>
          <w:szCs w:val="24"/>
          <w:lang w:val="en-US" w:eastAsia="zh-CN"/>
        </w:rPr>
        <w:t>5</w:t>
      </w:r>
      <w:r>
        <w:rPr>
          <w:rFonts w:hint="eastAsia" w:ascii="宋体" w:hAnsi="宋体" w:eastAsia="宋体" w:cs="宋体"/>
          <w:kern w:val="36"/>
          <w:sz w:val="24"/>
          <w:szCs w:val="24"/>
          <w:lang w:eastAsia="zh-CN"/>
        </w:rPr>
        <w:t>）</w:t>
      </w:r>
      <w:r>
        <w:rPr>
          <w:rFonts w:hint="eastAsia" w:ascii="宋体" w:hAnsi="宋体" w:eastAsia="宋体" w:cs="宋体"/>
          <w:kern w:val="36"/>
          <w:sz w:val="24"/>
          <w:szCs w:val="24"/>
          <w:lang w:val="en-US" w:eastAsia="zh-CN"/>
        </w:rPr>
        <w:t>培养学生精益求精、不畏困难、勇于创新的大国工匠精神。</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2.知识目标：</w:t>
      </w:r>
    </w:p>
    <w:p>
      <w:pPr>
        <w:pStyle w:val="24"/>
        <w:keepNext w:val="0"/>
        <w:keepLines w:val="0"/>
        <w:pageBreakBefore w:val="0"/>
        <w:widowControl/>
        <w:kinsoku/>
        <w:wordWrap/>
        <w:overflowPunct/>
        <w:topLinePunct w:val="0"/>
        <w:autoSpaceDE/>
        <w:autoSpaceDN/>
        <w:bidi w:val="0"/>
        <w:spacing w:before="0" w:after="0" w:line="400" w:lineRule="exact"/>
        <w:ind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（1） 掌握智能微电网的定义、发展背景、关键技术和发展的主要问题；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（2） 掌握智能微电网的体系结构、分类和构成智能微电网的主要设备；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（3） 掌握智能微电网中的分布式电源及储能技术；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（4） 熟悉智能微电网的运行与控制技术；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（5） 掌握智能微电网中的通信技术；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（6） 掌握智能微电网的保护机制、故障检测和故障排除的方法及技能；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（7） 掌握智能微电网的监控系统和能量管理系统的运行机制及运行方法。</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3.能力（技能）目标：</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（1） 能独立分析智能微电网系统结构；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（2） 根据要求独立设计智能微电网结构；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（3） 能设计智能微电网储能系统；</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（4） 能运行与控制智能微电网系统；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 xml:space="preserve">（5） 掌握智能微电网中的通信技术； </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kern w:val="36"/>
          <w:sz w:val="24"/>
          <w:szCs w:val="24"/>
        </w:rPr>
        <w:t>（6） 能对智能微电网进行故障检测和故障排除。</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
          <w:bCs/>
          <w:kern w:val="36"/>
          <w:sz w:val="24"/>
          <w:szCs w:val="24"/>
        </w:rPr>
      </w:pPr>
      <w:r>
        <w:rPr>
          <w:rFonts w:hint="eastAsia" w:ascii="宋体" w:hAnsi="宋体" w:eastAsia="宋体" w:cs="宋体"/>
          <w:b/>
          <w:bCs/>
          <w:color w:val="000000"/>
          <w:kern w:val="36"/>
          <w:sz w:val="24"/>
          <w:szCs w:val="24"/>
        </w:rPr>
        <w:t>五、教学内容与安排</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（一）教学内容设计原则</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2.循序渐进原则：主张教学既要按照内容的深浅程度由易到难，又要按照学生的年龄特征由浅入深、循序渐进，因势利导，进而取得好的教学效果。</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kern w:val="36"/>
          <w:sz w:val="24"/>
          <w:szCs w:val="24"/>
        </w:rPr>
      </w:pPr>
      <w:r>
        <w:rPr>
          <w:rFonts w:hint="eastAsia" w:ascii="宋体" w:hAnsi="宋体" w:eastAsia="宋体" w:cs="宋体"/>
          <w:bCs/>
          <w:color w:val="000000"/>
          <w:kern w:val="36"/>
          <w:sz w:val="24"/>
          <w:szCs w:val="24"/>
        </w:rPr>
        <w:t>4.教学相长原则：教学相长，即教与学的相辅相成。在现代意义下，师生之间、学生之间在教学过程中形成动态的信息互动，通过这种信息交流，实现师生互动，相互沟通，相互影响，相互补充，从而达到共识、共享、共进。这是教学相长的真谛。</w:t>
      </w:r>
    </w:p>
    <w:p>
      <w:pPr>
        <w:pStyle w:val="24"/>
        <w:keepNext w:val="0"/>
        <w:keepLines w:val="0"/>
        <w:pageBreakBefore w:val="0"/>
        <w:widowControl/>
        <w:kinsoku/>
        <w:wordWrap/>
        <w:overflowPunct/>
        <w:topLinePunct w:val="0"/>
        <w:autoSpaceDE/>
        <w:autoSpaceDN/>
        <w:bidi w:val="0"/>
        <w:spacing w:before="0" w:after="0" w:line="400" w:lineRule="exact"/>
        <w:ind w:left="0" w:firstLine="496" w:firstLineChars="200"/>
        <w:jc w:val="both"/>
        <w:textAlignment w:val="auto"/>
        <w:outlineLvl w:val="0"/>
        <w:rPr>
          <w:rFonts w:hint="eastAsia" w:ascii="宋体" w:hAnsi="宋体" w:eastAsia="宋体" w:cs="宋体"/>
          <w:bCs/>
          <w:color w:val="000000"/>
          <w:kern w:val="36"/>
          <w:sz w:val="24"/>
          <w:szCs w:val="24"/>
        </w:rPr>
      </w:pPr>
      <w:r>
        <w:rPr>
          <w:rFonts w:hint="eastAsia" w:ascii="宋体" w:hAnsi="宋体" w:eastAsia="宋体" w:cs="宋体"/>
          <w:bCs/>
          <w:color w:val="000000"/>
          <w:kern w:val="36"/>
          <w:sz w:val="24"/>
          <w:szCs w:val="24"/>
        </w:rPr>
        <w:t>5.量力性原则：量力性的教学原则，是指教学应当建立在学生通过一定的努力可能达到的知识水平和智力发展水平上，并据此来确定教学知识的广度、难度和教学的进度。</w:t>
      </w:r>
    </w:p>
    <w:p>
      <w:pPr>
        <w:pStyle w:val="26"/>
        <w:keepNext w:val="0"/>
        <w:keepLines w:val="0"/>
        <w:pageBreakBefore w:val="0"/>
        <w:widowControl/>
        <w:numPr>
          <w:ilvl w:val="0"/>
          <w:numId w:val="0"/>
        </w:numPr>
        <w:kinsoku/>
        <w:wordWrap/>
        <w:overflowPunct/>
        <w:topLinePunct w:val="0"/>
        <w:autoSpaceDE/>
        <w:autoSpaceDN/>
        <w:bidi w:val="0"/>
        <w:spacing w:after="0" w:line="400" w:lineRule="exact"/>
        <w:ind w:left="0" w:firstLine="456" w:firstLineChars="200"/>
        <w:textAlignment w:val="auto"/>
        <w:outlineLvl w:val="0"/>
        <w:rPr>
          <w:rFonts w:hint="eastAsia" w:ascii="宋体" w:hAnsi="宋体" w:eastAsia="宋体" w:cs="宋体"/>
          <w:color w:val="auto"/>
          <w:sz w:val="24"/>
          <w:szCs w:val="24"/>
        </w:rPr>
      </w:pPr>
      <w:r>
        <w:rPr>
          <w:rFonts w:hint="eastAsia" w:ascii="宋体" w:hAnsi="宋体" w:eastAsia="宋体" w:cs="宋体"/>
          <w:bCs/>
          <w:color w:val="000000"/>
          <w:kern w:val="36"/>
          <w:sz w:val="24"/>
          <w:szCs w:val="24"/>
        </w:rPr>
        <w:t>（</w:t>
      </w:r>
      <w:r>
        <w:rPr>
          <w:rFonts w:hint="eastAsia" w:ascii="宋体" w:hAnsi="宋体" w:eastAsia="宋体" w:cs="宋体"/>
          <w:bCs/>
          <w:color w:val="000000"/>
          <w:kern w:val="36"/>
          <w:sz w:val="24"/>
          <w:szCs w:val="24"/>
          <w:lang w:val="en-US" w:eastAsia="zh-CN"/>
        </w:rPr>
        <w:t>二</w:t>
      </w:r>
      <w:r>
        <w:rPr>
          <w:rFonts w:hint="eastAsia" w:ascii="宋体" w:hAnsi="宋体" w:eastAsia="宋体" w:cs="宋体"/>
          <w:bCs/>
          <w:color w:val="000000"/>
          <w:kern w:val="36"/>
          <w:sz w:val="24"/>
          <w:szCs w:val="24"/>
        </w:rPr>
        <w:t>）</w:t>
      </w:r>
      <w:r>
        <w:rPr>
          <w:rFonts w:hint="eastAsia" w:ascii="宋体" w:hAnsi="宋体" w:eastAsia="宋体" w:cs="宋体"/>
          <w:color w:val="auto"/>
          <w:kern w:val="36"/>
          <w:sz w:val="24"/>
          <w:szCs w:val="24"/>
        </w:rPr>
        <w:t>教学内容设计</w:t>
      </w:r>
    </w:p>
    <w:p>
      <w:pPr>
        <w:pStyle w:val="26"/>
        <w:keepNext w:val="0"/>
        <w:keepLines w:val="0"/>
        <w:pageBreakBefore w:val="0"/>
        <w:widowControl/>
        <w:numPr>
          <w:ilvl w:val="0"/>
          <w:numId w:val="0"/>
        </w:numPr>
        <w:kinsoku/>
        <w:wordWrap/>
        <w:overflowPunct/>
        <w:topLinePunct w:val="0"/>
        <w:autoSpaceDE/>
        <w:autoSpaceDN/>
        <w:bidi w:val="0"/>
        <w:spacing w:after="0" w:line="400" w:lineRule="exact"/>
        <w:ind w:left="0" w:firstLine="456" w:firstLineChars="200"/>
        <w:jc w:val="center"/>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表</w:t>
      </w:r>
      <w:r>
        <w:rPr>
          <w:rFonts w:hint="eastAsia" w:ascii="宋体" w:hAnsi="宋体" w:eastAsia="宋体" w:cs="宋体"/>
          <w:color w:val="auto"/>
          <w:sz w:val="24"/>
          <w:szCs w:val="24"/>
          <w:lang w:val="en-US" w:eastAsia="zh-CN"/>
        </w:rPr>
        <w:t>1：教学内容设计表</w:t>
      </w:r>
    </w:p>
    <w:tbl>
      <w:tblPr>
        <w:tblStyle w:val="11"/>
        <w:tblW w:w="5143"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7"/>
        <w:gridCol w:w="1097"/>
        <w:gridCol w:w="1323"/>
        <w:gridCol w:w="1422"/>
        <w:gridCol w:w="2511"/>
        <w:gridCol w:w="1326"/>
        <w:gridCol w:w="568"/>
        <w:gridCol w:w="6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349"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7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692"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31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692"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632" w:type="pct"/>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tblHeader/>
          <w:jc w:val="center"/>
        </w:trPr>
        <w:tc>
          <w:tcPr>
            <w:tcW w:w="34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57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692"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74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1314"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692"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p>
        </w:tc>
        <w:tc>
          <w:tcPr>
            <w:tcW w:w="29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33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afterAutospacing="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智能微电网概述</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智能微电网的定义、发展背景、关键技术和发展的主要问题</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引导学生养成利用书籍或通过网络获取相关信息的能力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(1)了解智能微电网的发展背景、定义特点、发展的意义</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(2)了解智能微电网的关键技术和面临的主要问题</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(3)掌握智能微电网主要实现技术手段</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能够掌握智能微电网主要实现技术手段</w:t>
            </w:r>
          </w:p>
        </w:tc>
        <w:tc>
          <w:tcPr>
            <w:tcW w:w="29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c>
          <w:tcPr>
            <w:tcW w:w="33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2"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智能微电网的分类和构成</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智能微电网的体系结构、分类和构成智能微电网的主要设备</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引导学生学会分类，培养学生分析问题的能力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(1)掌握智能微电网的系统构成</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(2)掌握智能微电网的体系结构，智能微电网的分类</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(3)了解智能微电网的构成设备</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能独立分析智能微电网系统结构并且能根据要求独立设计智能微电网结构</w:t>
            </w:r>
          </w:p>
        </w:tc>
        <w:tc>
          <w:tcPr>
            <w:tcW w:w="29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c>
          <w:tcPr>
            <w:tcW w:w="33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12"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分布式发电和储能技术</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储能设备设计</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通过分组完成任务时培养学生团队协作精神，树立诚信意识，锻炼学生沟通交流的能力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(1)掌握智能微电网中的分布式发电的种类、结构和工作原理</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(2)智能微电网中储能设备的作用和设计方法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(3)熟悉智能微电网中分布式发电的设计方法及与常规电网的接入方式</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能设计智能微电网储能系统</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10</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智能微电网的运行与控制</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智能微电网的离网和并网的运行方式及投切控制</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通过完成项目任务，培养学生精益求精、不畏困难、勇于创新的大国工匠精神</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(1)掌握智能微电网的离网和并网的运行方式</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(2)智能微电网的离网控制、并网控制和负荷的投切控制方法和技能</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(3)了解智能微电网的运行与控制新方法</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能运行与控制智能微电网系统</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10</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5</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智能微电网的故障检测与排除</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智能微电网的故障检测技术与排除方法</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通过完成项目任务，培养学生分析问题、解决问题的能力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(1)智能微电网的保护机制</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(2)微电网故障的检测技术，智能微电网故障的排除的方法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(3)了解智能微电网的故障检测新技术</w:t>
            </w: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能对智能微电网进行故障检测和故障排除</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34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6</w:t>
            </w:r>
          </w:p>
        </w:tc>
        <w:tc>
          <w:tcPr>
            <w:tcW w:w="57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智能微电网的能量管理和监控系统</w:t>
            </w:r>
          </w:p>
        </w:tc>
        <w:tc>
          <w:tcPr>
            <w:tcW w:w="692"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智能微电网的监控系统和管理系统的设计</w:t>
            </w:r>
          </w:p>
        </w:tc>
        <w:tc>
          <w:tcPr>
            <w:tcW w:w="74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通过分组完成任务时培养学生团队协作精神，树立诚信意识，锻炼学生沟通交流的能力</w:t>
            </w:r>
          </w:p>
        </w:tc>
        <w:tc>
          <w:tcPr>
            <w:tcW w:w="1314" w:type="pct"/>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(1)掌握能微电网能量管理系统的组成、工作机制及管理系统设计方法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(2)熟悉智能微电网监控系统的组成、工作机制及监控系统设计方法</w:t>
            </w:r>
          </w:p>
          <w:p>
            <w:pPr>
              <w:pStyle w:val="24"/>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p>
        </w:tc>
        <w:tc>
          <w:tcPr>
            <w:tcW w:w="692" w:type="pct"/>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cs="宋体"/>
                <w:color w:val="000000"/>
                <w:spacing w:val="10"/>
                <w:kern w:val="0"/>
                <w:sz w:val="21"/>
                <w:szCs w:val="21"/>
                <w:lang w:val="en-US" w:eastAsia="zh-CN" w:bidi="ar-SA"/>
              </w:rPr>
              <w:t>（1）</w:t>
            </w:r>
            <w:r>
              <w:rPr>
                <w:rFonts w:hint="eastAsia" w:ascii="宋体" w:hAnsi="宋体" w:eastAsia="宋体" w:cs="宋体"/>
                <w:color w:val="000000"/>
                <w:spacing w:val="10"/>
                <w:kern w:val="0"/>
                <w:sz w:val="21"/>
                <w:szCs w:val="21"/>
                <w:lang w:val="en-US" w:eastAsia="zh-CN" w:bidi="ar-SA"/>
              </w:rPr>
              <w:t>能设计智能微电网监控系统和管理系统</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4</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67" w:type="pct"/>
            <w:gridSpan w:val="6"/>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合计</w:t>
            </w:r>
          </w:p>
        </w:tc>
        <w:tc>
          <w:tcPr>
            <w:tcW w:w="29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36</w:t>
            </w:r>
          </w:p>
        </w:tc>
        <w:tc>
          <w:tcPr>
            <w:tcW w:w="334"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pacing w:val="10"/>
                <w:kern w:val="0"/>
                <w:sz w:val="21"/>
                <w:szCs w:val="21"/>
                <w:lang w:val="en-US" w:eastAsia="zh-CN" w:bidi="ar-SA"/>
              </w:rPr>
            </w:pPr>
            <w:r>
              <w:rPr>
                <w:rFonts w:hint="eastAsia" w:ascii="宋体" w:hAnsi="宋体" w:eastAsia="宋体" w:cs="宋体"/>
                <w:color w:val="000000"/>
                <w:spacing w:val="10"/>
                <w:kern w:val="0"/>
                <w:sz w:val="21"/>
                <w:szCs w:val="21"/>
                <w:lang w:val="en-US" w:eastAsia="zh-CN" w:bidi="ar-SA"/>
              </w:rPr>
              <w:t>18</w:t>
            </w:r>
          </w:p>
        </w:tc>
      </w:tr>
    </w:tbl>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val="0"/>
          <w:bCs w:val="0"/>
          <w:color w:val="000000"/>
          <w:kern w:val="36"/>
          <w:sz w:val="24"/>
          <w:szCs w:val="24"/>
        </w:rPr>
      </w:pP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bCs/>
          <w:color w:val="000000"/>
          <w:kern w:val="36"/>
          <w:sz w:val="24"/>
          <w:szCs w:val="24"/>
        </w:rPr>
      </w:pPr>
      <w:r>
        <w:rPr>
          <w:rFonts w:hint="eastAsia" w:ascii="宋体" w:hAnsi="宋体" w:eastAsia="宋体" w:cs="宋体"/>
          <w:b/>
          <w:bCs/>
          <w:color w:val="000000"/>
          <w:kern w:val="36"/>
          <w:sz w:val="24"/>
          <w:szCs w:val="24"/>
        </w:rPr>
        <w:t xml:space="preserve"> 六、考核标准与方式设计</w:t>
      </w: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eastAsia="zh-CN"/>
        </w:rPr>
        <w:t>（</w:t>
      </w:r>
      <w:r>
        <w:rPr>
          <w:rFonts w:hint="eastAsia" w:ascii="宋体" w:hAnsi="宋体" w:eastAsia="宋体" w:cs="宋体"/>
          <w:b w:val="0"/>
          <w:bCs w:val="0"/>
          <w:color w:val="000000"/>
          <w:kern w:val="36"/>
          <w:sz w:val="24"/>
          <w:szCs w:val="24"/>
          <w:lang w:val="en-US" w:eastAsia="zh-CN"/>
        </w:rPr>
        <w:t>一</w:t>
      </w:r>
      <w:r>
        <w:rPr>
          <w:rFonts w:hint="eastAsia" w:ascii="宋体" w:hAnsi="宋体" w:eastAsia="宋体" w:cs="宋体"/>
          <w:b w:val="0"/>
          <w:bCs w:val="0"/>
          <w:color w:val="000000"/>
          <w:kern w:val="36"/>
          <w:sz w:val="24"/>
          <w:szCs w:val="24"/>
          <w:lang w:eastAsia="zh-CN"/>
        </w:rPr>
        <w:t>）考核标准</w:t>
      </w: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both"/>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val="en-US"/>
        </w:rPr>
        <w:t>本课程的考核标准依据课程目标建立课程考核的“应知”“应会”体系详见下表。</w:t>
      </w:r>
    </w:p>
    <w:p>
      <w:pPr>
        <w:pStyle w:val="24"/>
        <w:keepNext w:val="0"/>
        <w:keepLines w:val="0"/>
        <w:pageBreakBefore w:val="0"/>
        <w:widowControl/>
        <w:kinsoku/>
        <w:wordWrap/>
        <w:overflowPunct/>
        <w:topLinePunct w:val="0"/>
        <w:autoSpaceDE/>
        <w:autoSpaceDN/>
        <w:bidi w:val="0"/>
        <w:adjustRightInd/>
        <w:snapToGrid/>
        <w:spacing w:before="0" w:after="0" w:line="400" w:lineRule="exact"/>
        <w:ind w:left="0" w:firstLine="496" w:firstLineChars="200"/>
        <w:jc w:val="center"/>
        <w:textAlignment w:val="auto"/>
        <w:outlineLvl w:val="0"/>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val="en-US"/>
        </w:rPr>
        <w:t>表2：课程考核标准表</w:t>
      </w:r>
    </w:p>
    <w:tbl>
      <w:tblPr>
        <w:tblStyle w:val="12"/>
        <w:tblW w:w="9562"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1740"/>
        <w:gridCol w:w="4935"/>
        <w:gridCol w:w="2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16"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序号</w:t>
            </w:r>
          </w:p>
        </w:tc>
        <w:tc>
          <w:tcPr>
            <w:tcW w:w="1740"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教学单元</w:t>
            </w:r>
          </w:p>
        </w:tc>
        <w:tc>
          <w:tcPr>
            <w:tcW w:w="4935"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应知</w:t>
            </w:r>
          </w:p>
        </w:tc>
        <w:tc>
          <w:tcPr>
            <w:tcW w:w="2171" w:type="dxa"/>
            <w:tcBorders>
              <w:top w:val="single" w:color="auto" w:sz="4" w:space="0"/>
              <w:left w:val="single" w:color="auto" w:sz="4" w:space="0"/>
              <w:bottom w:val="single" w:color="auto" w:sz="4" w:space="0"/>
              <w:right w:val="single" w:color="auto" w:sz="4" w:space="0"/>
            </w:tcBorders>
          </w:tcPr>
          <w:p>
            <w:pPr>
              <w:pStyle w:val="24"/>
              <w:widowControl/>
              <w:numPr>
                <w:ilvl w:val="0"/>
                <w:numId w:val="0"/>
              </w:numPr>
              <w:ind w:left="0" w:firstLine="0"/>
              <w:jc w:val="center"/>
              <w:rPr>
                <w:rFonts w:ascii="宋体" w:hAnsi="宋体" w:cs="宋体"/>
                <w:color w:val="000000"/>
                <w:sz w:val="21"/>
                <w:szCs w:val="21"/>
              </w:rPr>
            </w:pPr>
            <w:r>
              <w:rPr>
                <w:rFonts w:hint="eastAsia" w:ascii="宋体" w:hAnsi="宋体" w:cs="宋体"/>
                <w:color w:val="000000"/>
                <w:sz w:val="21"/>
                <w:szCs w:val="21"/>
                <w:lang w:eastAsia="zh-CN"/>
              </w:rPr>
              <w:t>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4"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1</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智能微电网概述</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(1)智能微电网的发展背景、定义特点、发展的意义</w:t>
            </w:r>
          </w:p>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(2)智能微电网的关键技术和面临的主要问题</w:t>
            </w:r>
          </w:p>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(3)智能微电网主要实现技术手段</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）智能微电网主要实现技术手段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2</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智能微电网的分类和构成</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(1)智能微电网的系统构成</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(2)智能微电网的体系结构，智能微电网的分类</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(3)智能微电网的构成设备</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2"/>
              </w:numPr>
              <w:ind w:left="0" w:firstLine="0"/>
              <w:jc w:val="both"/>
              <w:rPr>
                <w:rFonts w:hint="eastAsia" w:ascii="宋体" w:hAnsi="宋体" w:cs="宋体"/>
                <w:color w:val="000000"/>
                <w:sz w:val="21"/>
                <w:szCs w:val="21"/>
                <w:lang w:eastAsia="zh-CN"/>
              </w:rPr>
            </w:pPr>
            <w:r>
              <w:rPr>
                <w:rFonts w:hint="eastAsia" w:ascii="宋体" w:hAnsi="宋体" w:cs="宋体"/>
                <w:color w:val="000000"/>
                <w:sz w:val="21"/>
                <w:szCs w:val="21"/>
                <w:lang w:eastAsia="zh-CN"/>
              </w:rPr>
              <w:t xml:space="preserve">独立分析智能微电网系统结构 </w:t>
            </w:r>
          </w:p>
          <w:p>
            <w:pPr>
              <w:pStyle w:val="24"/>
              <w:widowControl/>
              <w:numPr>
                <w:ilvl w:val="0"/>
                <w:numId w:val="2"/>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根据要求独立设计智能微电网结构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3</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分布式发电和储能技术</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(1)智能微电网中的分布式发电的种类、结构和工作原理</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(2)智能微电网中储能设备的作用和设计方法</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(3)智能微电网中分布式发电的设计方法及与常规电网的接入方式</w:t>
            </w:r>
            <w:r>
              <w:rPr>
                <w:rFonts w:hint="eastAsia" w:ascii="宋体" w:hAnsi="宋体" w:cs="宋体"/>
                <w:color w:val="000000"/>
                <w:sz w:val="21"/>
                <w:szCs w:val="21"/>
                <w:lang w:val="en-US" w:eastAsia="zh-CN"/>
              </w:rPr>
              <w:t>。</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）设计智能微电网储能系统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4</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智能微电网的运行与控制</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(1)智能微电网的离网和并网的运行方式</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(2)智能微电网的离网控制、并网控制和负荷的投切控制方法和技能</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(3)智能微电网的运行与控制新方法</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 xml:space="preserve"> </w:t>
            </w:r>
            <w:r>
              <w:rPr>
                <w:rFonts w:hint="eastAsia" w:ascii="宋体" w:hAnsi="宋体" w:cs="宋体"/>
                <w:color w:val="000000"/>
                <w:sz w:val="21"/>
                <w:szCs w:val="21"/>
                <w:lang w:val="en-US" w:eastAsia="zh-CN"/>
              </w:rPr>
              <w:t>（1）</w:t>
            </w:r>
            <w:r>
              <w:rPr>
                <w:rFonts w:ascii="宋体" w:hAnsi="宋体" w:cs="宋体"/>
                <w:color w:val="000000"/>
                <w:sz w:val="21"/>
                <w:szCs w:val="21"/>
                <w:lang w:val="en-US"/>
              </w:rPr>
              <w:t>运行与控制智能微电网系统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5</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智能微电网的故障检测与排除</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(1)智能微电网的保护机制</w:t>
            </w:r>
          </w:p>
          <w:p>
            <w:pPr>
              <w:pStyle w:val="24"/>
              <w:widowControl/>
              <w:numPr>
                <w:ilvl w:val="0"/>
                <w:numId w:val="0"/>
              </w:numPr>
              <w:ind w:left="0" w:firstLine="0"/>
              <w:jc w:val="both"/>
              <w:rPr>
                <w:rFonts w:hint="default" w:ascii="宋体" w:hAnsi="宋体" w:cs="宋体"/>
                <w:color w:val="000000"/>
                <w:sz w:val="21"/>
                <w:szCs w:val="21"/>
                <w:lang w:val="en-US"/>
              </w:rPr>
            </w:pPr>
            <w:r>
              <w:rPr>
                <w:rFonts w:ascii="宋体" w:hAnsi="宋体" w:cs="宋体"/>
                <w:color w:val="000000"/>
                <w:sz w:val="21"/>
                <w:szCs w:val="21"/>
                <w:lang w:val="en-US"/>
              </w:rPr>
              <w:t>(2)微电网故障的检测技术</w:t>
            </w:r>
            <w:r>
              <w:rPr>
                <w:rFonts w:hint="eastAsia" w:ascii="宋体" w:hAnsi="宋体" w:cs="宋体"/>
                <w:color w:val="000000"/>
                <w:sz w:val="21"/>
                <w:szCs w:val="21"/>
                <w:lang w:val="en-US" w:eastAsia="zh-CN"/>
              </w:rPr>
              <w:t>，</w:t>
            </w:r>
            <w:r>
              <w:rPr>
                <w:rFonts w:ascii="宋体" w:hAnsi="宋体" w:cs="宋体"/>
                <w:color w:val="000000"/>
                <w:sz w:val="21"/>
                <w:szCs w:val="21"/>
                <w:lang w:val="en-US"/>
              </w:rPr>
              <w:t>智能微电网故障的排除的方法</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(3)智能微电网的故障检测新技术</w:t>
            </w: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val="en-US" w:eastAsia="zh-CN"/>
              </w:rPr>
              <w:t>（1）</w:t>
            </w:r>
            <w:r>
              <w:rPr>
                <w:rFonts w:ascii="宋体" w:hAnsi="宋体" w:cs="宋体"/>
                <w:color w:val="000000"/>
                <w:sz w:val="21"/>
                <w:szCs w:val="21"/>
                <w:lang w:val="en-US"/>
              </w:rPr>
              <w:t>对智能微电网进行故障检测和故障排除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 w:hRule="atLeast"/>
        </w:trPr>
        <w:tc>
          <w:tcPr>
            <w:tcW w:w="716"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center"/>
              <w:rPr>
                <w:rFonts w:ascii="宋体" w:hAnsi="宋体" w:cs="宋体"/>
                <w:color w:val="000000"/>
                <w:sz w:val="21"/>
                <w:szCs w:val="21"/>
              </w:rPr>
            </w:pPr>
            <w:r>
              <w:rPr>
                <w:rFonts w:ascii="宋体" w:hAnsi="宋体" w:cs="宋体"/>
                <w:color w:val="000000"/>
                <w:sz w:val="21"/>
                <w:szCs w:val="21"/>
                <w:lang w:val="en-US"/>
              </w:rPr>
              <w:t>6</w:t>
            </w:r>
          </w:p>
        </w:tc>
        <w:tc>
          <w:tcPr>
            <w:tcW w:w="1740"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智能微电网的能量管理和监控系统</w:t>
            </w:r>
          </w:p>
        </w:tc>
        <w:tc>
          <w:tcPr>
            <w:tcW w:w="4935"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(1)</w:t>
            </w:r>
            <w:r>
              <w:rPr>
                <w:rFonts w:hint="eastAsia" w:ascii="宋体" w:hAnsi="宋体" w:cs="宋体"/>
                <w:color w:val="000000"/>
                <w:sz w:val="21"/>
                <w:szCs w:val="21"/>
                <w:lang w:val="en-US" w:eastAsia="zh-CN"/>
              </w:rPr>
              <w:t>智</w:t>
            </w:r>
            <w:r>
              <w:rPr>
                <w:rFonts w:ascii="宋体" w:hAnsi="宋体" w:cs="宋体"/>
                <w:color w:val="000000"/>
                <w:sz w:val="21"/>
                <w:szCs w:val="21"/>
                <w:lang w:val="en-US"/>
              </w:rPr>
              <w:t>能微电网能量管理系统的组成、工作机制及管理系统设计方法</w:t>
            </w:r>
          </w:p>
          <w:p>
            <w:pPr>
              <w:pStyle w:val="24"/>
              <w:widowControl/>
              <w:numPr>
                <w:ilvl w:val="0"/>
                <w:numId w:val="0"/>
              </w:numPr>
              <w:ind w:left="0" w:firstLine="0"/>
              <w:jc w:val="both"/>
              <w:rPr>
                <w:rFonts w:ascii="宋体" w:hAnsi="宋体" w:cs="宋体"/>
                <w:color w:val="000000"/>
                <w:sz w:val="21"/>
                <w:szCs w:val="21"/>
              </w:rPr>
            </w:pPr>
            <w:r>
              <w:rPr>
                <w:rFonts w:ascii="宋体" w:hAnsi="宋体" w:cs="宋体"/>
                <w:color w:val="000000"/>
                <w:sz w:val="21"/>
                <w:szCs w:val="21"/>
                <w:lang w:val="en-US"/>
              </w:rPr>
              <w:t>(2)智能微电网监控系统的组成、工作机制及监控系统设计方法</w:t>
            </w:r>
          </w:p>
          <w:p>
            <w:pPr>
              <w:pStyle w:val="24"/>
              <w:widowControl/>
              <w:numPr>
                <w:ilvl w:val="0"/>
                <w:numId w:val="0"/>
              </w:numPr>
              <w:ind w:left="0" w:firstLine="0"/>
              <w:jc w:val="both"/>
              <w:rPr>
                <w:rFonts w:ascii="宋体" w:hAnsi="宋体" w:cs="宋体"/>
                <w:color w:val="000000"/>
                <w:sz w:val="21"/>
                <w:szCs w:val="21"/>
              </w:rPr>
            </w:pPr>
          </w:p>
        </w:tc>
        <w:tc>
          <w:tcPr>
            <w:tcW w:w="2171" w:type="dxa"/>
            <w:tcBorders>
              <w:top w:val="single" w:color="auto" w:sz="4" w:space="0"/>
              <w:left w:val="single" w:color="auto" w:sz="4" w:space="0"/>
              <w:bottom w:val="single" w:color="auto" w:sz="4" w:space="0"/>
              <w:right w:val="single" w:color="auto" w:sz="4" w:space="0"/>
            </w:tcBorders>
            <w:vAlign w:val="center"/>
          </w:tcPr>
          <w:p>
            <w:pPr>
              <w:pStyle w:val="24"/>
              <w:widowControl/>
              <w:numPr>
                <w:ilvl w:val="0"/>
                <w:numId w:val="0"/>
              </w:numPr>
              <w:ind w:left="0" w:firstLine="0"/>
              <w:jc w:val="both"/>
              <w:rPr>
                <w:rFonts w:ascii="宋体" w:hAnsi="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）设计智能微电网监控系统和管理系统</w:t>
            </w:r>
          </w:p>
        </w:tc>
      </w:tr>
    </w:tbl>
    <w:p>
      <w:pPr>
        <w:pStyle w:val="24"/>
        <w:keepNext w:val="0"/>
        <w:keepLines w:val="0"/>
        <w:pageBreakBefore w:val="0"/>
        <w:widowControl/>
        <w:numPr>
          <w:ilvl w:val="0"/>
          <w:numId w:val="0"/>
        </w:numPr>
        <w:kinsoku/>
        <w:overflowPunct/>
        <w:topLinePunct w:val="0"/>
        <w:bidi w:val="0"/>
        <w:snapToGrid/>
        <w:spacing w:before="0" w:after="0"/>
        <w:ind w:left="420" w:firstLine="0"/>
        <w:jc w:val="left"/>
        <w:textAlignment w:val="auto"/>
        <w:rPr>
          <w:rFonts w:ascii="宋体" w:hAnsi="宋体" w:cs="宋体"/>
          <w:color w:val="000000"/>
          <w:szCs w:val="21"/>
        </w:rPr>
      </w:pPr>
    </w:p>
    <w:p>
      <w:pPr>
        <w:pStyle w:val="24"/>
        <w:keepNext w:val="0"/>
        <w:keepLines w:val="0"/>
        <w:pageBreakBefore w:val="0"/>
        <w:widowControl/>
        <w:numPr>
          <w:ilvl w:val="0"/>
          <w:numId w:val="0"/>
        </w:numPr>
        <w:kinsoku/>
        <w:overflowPunct/>
        <w:topLinePunct w:val="0"/>
        <w:bidi w:val="0"/>
        <w:snapToGrid w:val="0"/>
        <w:spacing w:before="0" w:after="0" w:line="400" w:lineRule="exact"/>
        <w:ind w:left="0" w:firstLine="496" w:firstLineChars="200"/>
        <w:jc w:val="left"/>
        <w:textAlignment w:val="auto"/>
        <w:rPr>
          <w:rFonts w:ascii="宋体" w:hAnsi="宋体" w:cs="宋体"/>
          <w:color w:val="000000"/>
          <w:sz w:val="24"/>
          <w:szCs w:val="24"/>
        </w:rPr>
      </w:pPr>
      <w:r>
        <w:rPr>
          <w:rFonts w:hint="eastAsia" w:ascii="宋体" w:hAnsi="宋体" w:cs="宋体"/>
          <w:color w:val="000000"/>
          <w:sz w:val="24"/>
          <w:szCs w:val="24"/>
          <w:lang w:eastAsia="zh-CN"/>
        </w:rPr>
        <w:t>（二）考核方式</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本课程考核成绩由过程考核、理论考核、实训考核综合评定。</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1.过程考核：占课程总评成绩的</w:t>
      </w:r>
      <w:r>
        <w:rPr>
          <w:color w:val="000000"/>
          <w:sz w:val="24"/>
          <w:szCs w:val="24"/>
        </w:rPr>
        <w:t>3</w:t>
      </w:r>
      <w:r>
        <w:rPr>
          <w:rFonts w:hint="eastAsia"/>
          <w:color w:val="000000"/>
          <w:sz w:val="24"/>
          <w:szCs w:val="24"/>
        </w:rPr>
        <w:t>0%。包括学生到课、课堂交流、平时作业等环节，由任课教师在课程教学过程中实施与评定；</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2.理论考核：占课程总评成绩的</w:t>
      </w:r>
      <w:r>
        <w:rPr>
          <w:color w:val="000000"/>
          <w:sz w:val="24"/>
          <w:szCs w:val="24"/>
        </w:rPr>
        <w:t>4</w:t>
      </w:r>
      <w:r>
        <w:rPr>
          <w:rFonts w:hint="eastAsia"/>
          <w:color w:val="000000"/>
          <w:sz w:val="24"/>
          <w:szCs w:val="24"/>
        </w:rPr>
        <w:t>0%。由教研室在课程结束时组织实施。</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color w:val="000000"/>
          <w:sz w:val="24"/>
          <w:szCs w:val="24"/>
        </w:rPr>
      </w:pPr>
      <w:r>
        <w:rPr>
          <w:rFonts w:hint="eastAsia"/>
          <w:color w:val="000000"/>
          <w:sz w:val="24"/>
          <w:szCs w:val="24"/>
        </w:rPr>
        <w:t>3.实训考核：占课程总评成绩的</w:t>
      </w:r>
      <w:r>
        <w:rPr>
          <w:color w:val="000000"/>
          <w:sz w:val="24"/>
          <w:szCs w:val="24"/>
        </w:rPr>
        <w:t>3</w:t>
      </w:r>
      <w:r>
        <w:rPr>
          <w:rFonts w:hint="eastAsia"/>
          <w:color w:val="000000"/>
          <w:sz w:val="24"/>
          <w:szCs w:val="24"/>
        </w:rPr>
        <w:t>0%。包括案</w:t>
      </w:r>
      <w:r>
        <w:rPr>
          <w:color w:val="000000"/>
          <w:sz w:val="24"/>
          <w:szCs w:val="24"/>
        </w:rPr>
        <w:t>例讨论、调查报告撰写、实践操作等</w:t>
      </w:r>
      <w:r>
        <w:rPr>
          <w:rFonts w:hint="eastAsia"/>
          <w:color w:val="000000"/>
          <w:sz w:val="24"/>
          <w:szCs w:val="24"/>
        </w:rPr>
        <w:t>，由任课教师在课程教学过程中实施与评定。</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
          <w:bCs w:val="0"/>
          <w:color w:val="000000"/>
          <w:kern w:val="0"/>
          <w:sz w:val="24"/>
          <w:szCs w:val="24"/>
        </w:rPr>
      </w:pPr>
      <w:r>
        <w:rPr>
          <w:rFonts w:hint="eastAsia" w:ascii="宋体" w:hAnsi="宋体" w:cs="宋体"/>
          <w:b/>
          <w:bCs w:val="0"/>
          <w:color w:val="000000"/>
          <w:kern w:val="0"/>
          <w:sz w:val="24"/>
          <w:szCs w:val="24"/>
        </w:rPr>
        <w:t>七、实施建议</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color w:val="FF0000"/>
          <w:sz w:val="24"/>
          <w:szCs w:val="24"/>
        </w:rPr>
      </w:pPr>
      <w:r>
        <w:rPr>
          <w:rFonts w:hint="eastAsia" w:ascii="宋体" w:hAnsi="宋体" w:cs="宋体"/>
          <w:bCs/>
          <w:color w:val="000000"/>
          <w:kern w:val="0"/>
          <w:sz w:val="24"/>
          <w:szCs w:val="24"/>
        </w:rPr>
        <w:t>（一）教材编写与使用选择</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选用国家“十三五”高等职业教育规划教材《智能微电网应用技术》张清小主编，中国铁道出版社，202</w:t>
      </w:r>
      <w:r>
        <w:rPr>
          <w:rFonts w:ascii="宋体" w:hAnsi="宋体" w:cs="宋体"/>
          <w:bCs/>
          <w:color w:val="000000"/>
          <w:kern w:val="36"/>
          <w:sz w:val="24"/>
          <w:szCs w:val="24"/>
        </w:rPr>
        <w:t>1</w:t>
      </w:r>
      <w:r>
        <w:rPr>
          <w:rFonts w:hint="eastAsia" w:ascii="宋体" w:hAnsi="宋体" w:cs="宋体"/>
          <w:bCs/>
          <w:color w:val="000000"/>
          <w:kern w:val="36"/>
          <w:sz w:val="24"/>
          <w:szCs w:val="24"/>
        </w:rPr>
        <w:t>年</w:t>
      </w:r>
      <w:r>
        <w:rPr>
          <w:rFonts w:ascii="宋体" w:hAnsi="宋体" w:cs="宋体"/>
          <w:bCs/>
          <w:color w:val="000000"/>
          <w:kern w:val="36"/>
          <w:sz w:val="24"/>
          <w:szCs w:val="24"/>
        </w:rPr>
        <w:t>01</w:t>
      </w:r>
      <w:r>
        <w:rPr>
          <w:rFonts w:hint="eastAsia" w:ascii="宋体" w:hAnsi="宋体" w:cs="宋体"/>
          <w:bCs/>
          <w:color w:val="000000"/>
          <w:kern w:val="36"/>
          <w:sz w:val="24"/>
          <w:szCs w:val="24"/>
        </w:rPr>
        <w:t>月第</w:t>
      </w:r>
      <w:r>
        <w:rPr>
          <w:rFonts w:ascii="宋体" w:hAnsi="宋体" w:cs="宋体"/>
          <w:bCs/>
          <w:color w:val="000000"/>
          <w:kern w:val="36"/>
          <w:sz w:val="24"/>
          <w:szCs w:val="24"/>
        </w:rPr>
        <w:t>2</w:t>
      </w:r>
      <w:r>
        <w:rPr>
          <w:rFonts w:hint="eastAsia" w:ascii="宋体" w:hAnsi="宋体" w:cs="宋体"/>
          <w:bCs/>
          <w:color w:val="000000"/>
          <w:kern w:val="36"/>
          <w:sz w:val="24"/>
          <w:szCs w:val="24"/>
        </w:rPr>
        <w:t>版 。</w:t>
      </w:r>
    </w:p>
    <w:p>
      <w:pPr>
        <w:keepNext w:val="0"/>
        <w:keepLines w:val="0"/>
        <w:pageBreakBefore w:val="0"/>
        <w:kinsoku/>
        <w:overflowPunct/>
        <w:topLinePunct w:val="0"/>
        <w:autoSpaceDE w:val="0"/>
        <w:autoSpaceDN w:val="0"/>
        <w:bidi w:val="0"/>
        <w:adjustRightInd w:val="0"/>
        <w:snapToGrid w:val="0"/>
        <w:spacing w:line="400" w:lineRule="exact"/>
        <w:ind w:left="0" w:firstLine="456" w:firstLineChars="200"/>
        <w:jc w:val="left"/>
        <w:textAlignment w:val="auto"/>
        <w:rPr>
          <w:rFonts w:ascii="宋体" w:hAnsi="宋体" w:cs="宋体"/>
          <w:bCs/>
          <w:color w:val="000000"/>
          <w:kern w:val="0"/>
          <w:sz w:val="24"/>
          <w:szCs w:val="24"/>
        </w:rPr>
      </w:pPr>
      <w:r>
        <w:rPr>
          <w:rFonts w:hint="eastAsia" w:ascii="宋体" w:hAnsi="宋体" w:cs="宋体"/>
          <w:bCs/>
          <w:color w:val="000000"/>
          <w:kern w:val="0"/>
          <w:sz w:val="24"/>
          <w:szCs w:val="24"/>
        </w:rPr>
        <w:t>（二）教学方法与手段</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color w:val="FF0000"/>
          <w:sz w:val="24"/>
          <w:szCs w:val="24"/>
        </w:rPr>
      </w:pPr>
      <w:r>
        <w:rPr>
          <w:rFonts w:hint="eastAsia" w:ascii="宋体" w:hAnsi="宋体" w:cs="宋体"/>
          <w:bCs/>
          <w:color w:val="000000"/>
          <w:sz w:val="24"/>
          <w:szCs w:val="24"/>
        </w:rPr>
        <w:t>1.教学模式：</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（1）传递-接受式：强调教师的指导作用，学生可以在课堂上接受大量的理论知识。</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（2）问题-探究式：教师抛出案例，学生通过思考、实践、小组讨论等方式探究解决问题的方法，重点培养学生的学习能力。</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（3）示范-模仿式：采用在实践技能教学上，通过老师的示范，学生观看后动手操作的方式，锻炼学生技能，达到教学目的。</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kern w:val="36"/>
          <w:sz w:val="24"/>
          <w:szCs w:val="24"/>
        </w:rPr>
      </w:pPr>
      <w:r>
        <w:rPr>
          <w:rFonts w:hint="eastAsia" w:ascii="宋体" w:hAnsi="宋体" w:cs="宋体"/>
          <w:bCs/>
          <w:color w:val="000000"/>
          <w:kern w:val="36"/>
          <w:sz w:val="24"/>
          <w:szCs w:val="24"/>
        </w:rPr>
        <w:t>（4）角色-情境式：运用角色扮演与工作情境相结合，培养学生分析问题和解决问题的能力。</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Cs/>
          <w:color w:val="000000"/>
          <w:sz w:val="24"/>
          <w:szCs w:val="24"/>
        </w:rPr>
      </w:pPr>
      <w:r>
        <w:rPr>
          <w:rFonts w:hint="eastAsia" w:ascii="宋体" w:hAnsi="宋体" w:cs="宋体"/>
          <w:bCs/>
          <w:color w:val="000000"/>
          <w:sz w:val="24"/>
          <w:szCs w:val="24"/>
        </w:rPr>
        <w:t>2.教学方法：</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rFonts w:hint="eastAsia"/>
          <w:bCs/>
          <w:color w:val="000000"/>
          <w:sz w:val="24"/>
          <w:szCs w:val="24"/>
        </w:rPr>
      </w:pPr>
      <w:r>
        <w:rPr>
          <w:rFonts w:hint="eastAsia"/>
          <w:sz w:val="24"/>
          <w:szCs w:val="24"/>
        </w:rPr>
        <w:t>本课程根据不同教学内容综合</w:t>
      </w:r>
      <w:r>
        <w:rPr>
          <w:sz w:val="24"/>
          <w:szCs w:val="24"/>
        </w:rPr>
        <w:t>运用讲授、案例分析、小组讨论、问题启发、任务驱动等多种教学方式。</w:t>
      </w:r>
      <w:r>
        <w:rPr>
          <w:rFonts w:hint="eastAsia"/>
          <w:sz w:val="24"/>
          <w:szCs w:val="24"/>
        </w:rPr>
        <w:t xml:space="preserve">  </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bCs/>
          <w:color w:val="000000"/>
          <w:sz w:val="24"/>
          <w:szCs w:val="24"/>
        </w:rPr>
      </w:pPr>
      <w:r>
        <w:rPr>
          <w:rFonts w:hint="eastAsia"/>
          <w:bCs/>
          <w:color w:val="000000"/>
          <w:sz w:val="24"/>
          <w:szCs w:val="24"/>
        </w:rPr>
        <w:t>3.教学手段：</w:t>
      </w:r>
    </w:p>
    <w:p>
      <w:pPr>
        <w:pStyle w:val="7"/>
        <w:keepNext w:val="0"/>
        <w:keepLines w:val="0"/>
        <w:pageBreakBefore w:val="0"/>
        <w:widowControl w:val="0"/>
        <w:kinsoku/>
        <w:overflowPunct/>
        <w:topLinePunct w:val="0"/>
        <w:bidi w:val="0"/>
        <w:snapToGrid w:val="0"/>
        <w:spacing w:before="0" w:beforeAutospacing="0" w:after="0" w:afterAutospacing="0" w:line="400" w:lineRule="exact"/>
        <w:ind w:left="0" w:firstLine="456" w:firstLineChars="200"/>
        <w:jc w:val="both"/>
        <w:textAlignment w:val="auto"/>
        <w:outlineLvl w:val="1"/>
        <w:rPr>
          <w:bCs/>
          <w:color w:val="000000"/>
          <w:kern w:val="2"/>
          <w:sz w:val="24"/>
          <w:szCs w:val="24"/>
        </w:rPr>
      </w:pPr>
      <w:r>
        <w:rPr>
          <w:bCs/>
          <w:color w:val="000000"/>
          <w:kern w:val="2"/>
          <w:sz w:val="24"/>
          <w:szCs w:val="24"/>
        </w:rPr>
        <w:t xml:space="preserve">    </w:t>
      </w:r>
      <w:r>
        <w:rPr>
          <w:rFonts w:hint="eastAsia"/>
          <w:bCs/>
          <w:color w:val="000000"/>
          <w:kern w:val="2"/>
          <w:sz w:val="24"/>
          <w:szCs w:val="24"/>
        </w:rPr>
        <w:t>本课程根据不同教学内容，在教学过程中，依托校内外实训基地实训的条件和环境采用现场视频录像、多媒体课件、网络教学等各种手段。</w:t>
      </w:r>
    </w:p>
    <w:p>
      <w:pPr>
        <w:keepNext w:val="0"/>
        <w:keepLines w:val="0"/>
        <w:pageBreakBefore w:val="0"/>
        <w:kinsoku/>
        <w:overflowPunct/>
        <w:topLinePunct w:val="0"/>
        <w:bidi w:val="0"/>
        <w:snapToGrid w:val="0"/>
        <w:spacing w:line="400" w:lineRule="exact"/>
        <w:ind w:left="0" w:firstLine="456" w:firstLineChars="200"/>
        <w:textAlignment w:val="auto"/>
        <w:rPr>
          <w:rFonts w:ascii="宋体" w:hAnsi="宋体" w:cs="宋体"/>
          <w:color w:val="FF0000"/>
          <w:sz w:val="24"/>
          <w:szCs w:val="24"/>
        </w:rPr>
      </w:pPr>
      <w:r>
        <w:rPr>
          <w:rFonts w:hint="eastAsia" w:ascii="宋体" w:hAnsi="宋体" w:cs="宋体"/>
          <w:bCs/>
          <w:color w:val="000000"/>
          <w:kern w:val="0"/>
          <w:sz w:val="24"/>
          <w:szCs w:val="24"/>
        </w:rPr>
        <w:t>（三）</w:t>
      </w:r>
      <w:r>
        <w:rPr>
          <w:rFonts w:hint="eastAsia" w:ascii="宋体" w:hAnsi="宋体" w:cs="宋体"/>
          <w:bCs/>
          <w:kern w:val="0"/>
          <w:sz w:val="24"/>
          <w:szCs w:val="24"/>
        </w:rPr>
        <w:t>课程资源开发与利用</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kern w:val="0"/>
          <w:sz w:val="24"/>
          <w:szCs w:val="24"/>
        </w:rPr>
      </w:pPr>
      <w:r>
        <w:rPr>
          <w:rFonts w:ascii="宋体" w:hAnsi="宋体" w:cs="宋体"/>
          <w:bCs/>
          <w:color w:val="000000"/>
          <w:kern w:val="36"/>
          <w:sz w:val="24"/>
          <w:szCs w:val="24"/>
        </w:rPr>
        <w:t>1.</w:t>
      </w:r>
      <w:r>
        <w:rPr>
          <w:rFonts w:hint="eastAsia" w:ascii="宋体" w:hAnsi="宋体" w:cs="宋体"/>
          <w:bCs/>
          <w:color w:val="000000"/>
          <w:kern w:val="36"/>
          <w:sz w:val="24"/>
          <w:szCs w:val="24"/>
        </w:rPr>
        <w:t>注重对实训大纲、实训指导书的开发与应用。 注重学生实际分析问题、解决问题能力的培养，实训大纲与实训指导书必须注意可操作性，要求文件简练，脉络清晰，便于实训模拟。</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ascii="宋体" w:hAnsi="宋体" w:cs="宋体"/>
          <w:sz w:val="24"/>
          <w:szCs w:val="24"/>
        </w:rPr>
        <w:t>2.注重常规教学资源的开发与共享。开发教案、课件、习题、案例、资料、录像等互动性强的教学资料，并共享，加快学生接受知识的速度，促进学生理解。</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ascii="宋体" w:hAnsi="宋体" w:cs="宋体"/>
          <w:sz w:val="24"/>
          <w:szCs w:val="24"/>
        </w:rPr>
        <w:t>3.充分开发网络学习平台资源</w:t>
      </w:r>
      <w:r>
        <w:rPr>
          <w:rFonts w:hint="eastAsia" w:ascii="宋体" w:hAnsi="宋体" w:cs="宋体"/>
          <w:sz w:val="24"/>
          <w:szCs w:val="24"/>
          <w:lang w:eastAsia="zh-CN"/>
        </w:rPr>
        <w:t>，超星网络教学平台、学习通《智能微电网技术》，慕课堂，通过浏览智能微电网技术网络精品课程，更有针对性地学习自己感兴趣的内容。</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hint="eastAsia" w:ascii="宋体" w:hAnsi="宋体" w:cs="宋体"/>
          <w:sz w:val="24"/>
          <w:szCs w:val="24"/>
          <w:lang w:eastAsia="zh-CN"/>
        </w:rPr>
        <w:t>(</w:t>
      </w:r>
      <w:r>
        <w:rPr>
          <w:rFonts w:hint="default" w:ascii="宋体" w:hAnsi="宋体" w:cs="宋体"/>
          <w:sz w:val="24"/>
          <w:szCs w:val="24"/>
          <w:lang w:val="en-US" w:eastAsia="zh-CN"/>
        </w:rPr>
        <w:t>1)</w:t>
      </w:r>
      <w:r>
        <w:rPr>
          <w:rFonts w:hint="eastAsia" w:ascii="宋体" w:hAnsi="宋体" w:cs="宋体"/>
          <w:sz w:val="24"/>
          <w:szCs w:val="24"/>
          <w:lang w:eastAsia="zh-CN"/>
        </w:rPr>
        <w:t>超星智慧校园网络教学平台：http://cxzhxy.fanya.chaoxing.com/portal;</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hint="eastAsia" w:ascii="宋体" w:hAnsi="宋体" w:cs="宋体"/>
          <w:sz w:val="24"/>
          <w:szCs w:val="24"/>
          <w:lang w:eastAsia="zh-CN"/>
        </w:rPr>
        <w:t>(2)学习通：http://www.xuexi365.com；</w:t>
      </w:r>
    </w:p>
    <w:p>
      <w:pPr>
        <w:pStyle w:val="24"/>
        <w:keepNext w:val="0"/>
        <w:keepLines w:val="0"/>
        <w:pageBreakBefore w:val="0"/>
        <w:widowControl/>
        <w:kinsoku/>
        <w:wordWrap w:val="0"/>
        <w:overflowPunct/>
        <w:topLinePunct w:val="0"/>
        <w:bidi w:val="0"/>
        <w:snapToGrid w:val="0"/>
        <w:spacing w:before="0" w:after="0" w:line="400" w:lineRule="exact"/>
        <w:ind w:left="0" w:firstLine="496" w:firstLineChars="200"/>
        <w:textAlignment w:val="auto"/>
        <w:rPr>
          <w:rFonts w:ascii="宋体" w:hAnsi="宋体" w:cs="宋体"/>
          <w:sz w:val="24"/>
          <w:szCs w:val="24"/>
        </w:rPr>
      </w:pPr>
      <w:r>
        <w:rPr>
          <w:rFonts w:hint="eastAsia" w:ascii="宋体" w:hAnsi="宋体" w:cs="宋体"/>
          <w:sz w:val="24"/>
          <w:szCs w:val="24"/>
          <w:lang w:eastAsia="zh-CN"/>
        </w:rPr>
        <w:t>(3)中国大学MOOC:https://www.icourse163.org/</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b/>
          <w:bCs/>
          <w:kern w:val="0"/>
          <w:sz w:val="24"/>
          <w:szCs w:val="24"/>
        </w:rPr>
      </w:pPr>
      <w:r>
        <w:rPr>
          <w:rFonts w:hint="eastAsia" w:ascii="宋体" w:hAnsi="宋体" w:cs="宋体"/>
          <w:b/>
          <w:bCs/>
          <w:kern w:val="0"/>
          <w:sz w:val="24"/>
          <w:szCs w:val="24"/>
        </w:rPr>
        <w:t>八、编制说明</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kern w:val="0"/>
          <w:sz w:val="24"/>
          <w:szCs w:val="24"/>
        </w:rPr>
      </w:pPr>
      <w:r>
        <w:rPr>
          <w:rFonts w:hint="eastAsia" w:ascii="宋体" w:hAnsi="宋体" w:cs="宋体"/>
          <w:kern w:val="0"/>
          <w:sz w:val="24"/>
          <w:szCs w:val="24"/>
        </w:rPr>
        <w:t>编写人：</w:t>
      </w:r>
      <w:r>
        <w:rPr>
          <w:rFonts w:hint="eastAsia" w:ascii="宋体" w:hAnsi="宋体" w:cs="宋体"/>
          <w:kern w:val="0"/>
          <w:sz w:val="24"/>
          <w:szCs w:val="24"/>
          <w:lang w:eastAsia="zh-CN"/>
        </w:rPr>
        <w:t>胡漫青</w:t>
      </w:r>
      <w:r>
        <w:rPr>
          <w:rFonts w:hint="eastAsia" w:ascii="宋体" w:hAnsi="宋体" w:cs="宋体"/>
          <w:kern w:val="0"/>
          <w:sz w:val="24"/>
          <w:szCs w:val="24"/>
        </w:rPr>
        <w:t xml:space="preserve"> </w:t>
      </w:r>
      <w:r>
        <w:rPr>
          <w:rFonts w:hint="eastAsia" w:ascii="宋体" w:hAnsi="宋体" w:cs="宋体"/>
          <w:kern w:val="0"/>
          <w:sz w:val="24"/>
          <w:szCs w:val="24"/>
          <w:lang w:eastAsia="zh-CN"/>
        </w:rPr>
        <w:t xml:space="preserve"> 助教</w:t>
      </w:r>
      <w:r>
        <w:rPr>
          <w:rFonts w:hint="eastAsia" w:ascii="宋体" w:hAnsi="宋体" w:cs="宋体"/>
          <w:kern w:val="0"/>
          <w:sz w:val="24"/>
          <w:szCs w:val="24"/>
        </w:rPr>
        <w:t xml:space="preserve"> </w:t>
      </w:r>
      <w:r>
        <w:rPr>
          <w:rFonts w:hint="eastAsia" w:ascii="宋体" w:hAnsi="宋体" w:cs="宋体"/>
          <w:kern w:val="0"/>
          <w:sz w:val="24"/>
          <w:szCs w:val="24"/>
          <w:lang w:eastAsia="zh-CN"/>
        </w:rPr>
        <w:t xml:space="preserve"> 赣西科技职业学院材料与制造专业教研室</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hint="default" w:ascii="宋体" w:hAnsi="宋体" w:cs="宋体"/>
          <w:kern w:val="0"/>
          <w:sz w:val="24"/>
          <w:szCs w:val="24"/>
          <w:lang w:val="en-US" w:eastAsia="zh-CN"/>
        </w:rPr>
      </w:pPr>
      <w:r>
        <w:rPr>
          <w:rFonts w:hint="eastAsia" w:ascii="宋体" w:hAnsi="宋体" w:cs="宋体"/>
          <w:kern w:val="0"/>
          <w:sz w:val="24"/>
          <w:szCs w:val="24"/>
        </w:rPr>
        <w:t>审核人：</w:t>
      </w:r>
      <w:r>
        <w:rPr>
          <w:rFonts w:hint="eastAsia" w:ascii="宋体" w:hAnsi="宋体" w:cs="宋体"/>
          <w:kern w:val="0"/>
          <w:sz w:val="24"/>
          <w:szCs w:val="24"/>
          <w:lang w:val="en-US" w:eastAsia="zh-CN"/>
        </w:rPr>
        <w:t>李玉平  教授  新余学院机电工程学院</w:t>
      </w:r>
    </w:p>
    <w:p>
      <w:pPr>
        <w:keepNext w:val="0"/>
        <w:keepLines w:val="0"/>
        <w:pageBreakBefore w:val="0"/>
        <w:widowControl/>
        <w:kinsoku/>
        <w:wordWrap w:val="0"/>
        <w:overflowPunct/>
        <w:topLinePunct w:val="0"/>
        <w:bidi w:val="0"/>
        <w:snapToGrid w:val="0"/>
        <w:spacing w:line="400" w:lineRule="exact"/>
        <w:ind w:left="0" w:firstLine="456" w:firstLineChars="200"/>
        <w:textAlignment w:val="auto"/>
        <w:rPr>
          <w:rFonts w:ascii="宋体" w:hAnsi="宋体" w:cs="宋体"/>
          <w:kern w:val="0"/>
          <w:sz w:val="24"/>
          <w:szCs w:val="24"/>
        </w:rPr>
      </w:pPr>
      <w:r>
        <w:rPr>
          <w:rFonts w:hint="eastAsia" w:ascii="宋体" w:hAnsi="宋体" w:cs="宋体"/>
          <w:kern w:val="0"/>
          <w:sz w:val="24"/>
          <w:szCs w:val="24"/>
        </w:rPr>
        <w:t>执行日：本标准从20</w:t>
      </w:r>
      <w:r>
        <w:rPr>
          <w:rFonts w:hint="default" w:ascii="宋体" w:hAnsi="宋体" w:cs="宋体"/>
          <w:kern w:val="0"/>
          <w:sz w:val="24"/>
          <w:szCs w:val="24"/>
          <w:lang w:val="en-US"/>
        </w:rPr>
        <w:t>2</w:t>
      </w:r>
      <w:r>
        <w:rPr>
          <w:rFonts w:hint="eastAsia" w:ascii="宋体" w:hAnsi="宋体" w:cs="宋体"/>
          <w:kern w:val="0"/>
          <w:sz w:val="24"/>
          <w:szCs w:val="24"/>
          <w:lang w:val="en-US" w:eastAsia="zh-CN"/>
        </w:rPr>
        <w:t>4</w:t>
      </w:r>
      <w:r>
        <w:rPr>
          <w:rFonts w:hint="eastAsia" w:ascii="宋体" w:hAnsi="宋体" w:cs="宋体"/>
          <w:kern w:val="0"/>
          <w:sz w:val="24"/>
          <w:szCs w:val="24"/>
        </w:rPr>
        <w:t>年</w:t>
      </w:r>
      <w:r>
        <w:rPr>
          <w:rFonts w:hint="default" w:ascii="宋体" w:hAnsi="宋体" w:cs="宋体"/>
          <w:kern w:val="0"/>
          <w:sz w:val="24"/>
          <w:szCs w:val="24"/>
          <w:lang w:val="en-US"/>
        </w:rPr>
        <w:t>9</w:t>
      </w:r>
      <w:r>
        <w:rPr>
          <w:rFonts w:hint="eastAsia" w:ascii="宋体" w:hAnsi="宋体" w:cs="宋体"/>
          <w:kern w:val="0"/>
          <w:sz w:val="24"/>
          <w:szCs w:val="24"/>
        </w:rPr>
        <w:t>月起执行。</w:t>
      </w:r>
      <w:bookmarkStart w:id="0" w:name="_GoBack"/>
      <w:bookmarkEnd w:id="0"/>
    </w:p>
    <w:p>
      <w:pPr>
        <w:keepNext w:val="0"/>
        <w:keepLines w:val="0"/>
        <w:pageBreakBefore w:val="0"/>
        <w:kinsoku/>
        <w:overflowPunct/>
        <w:topLinePunct w:val="0"/>
        <w:bidi w:val="0"/>
        <w:snapToGrid w:val="0"/>
        <w:spacing w:line="400" w:lineRule="exact"/>
        <w:jc w:val="center"/>
        <w:textAlignment w:val="auto"/>
        <w:rPr>
          <w:rFonts w:ascii="宋体" w:hAnsi="宋体" w:cs="宋体"/>
          <w:szCs w:val="21"/>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Style w:val="22"/>
                            </w:rPr>
                          </w:pPr>
                          <w:r>
                            <w:fldChar w:fldCharType="begin"/>
                          </w:r>
                          <w:r>
                            <w:rPr>
                              <w:rStyle w:val="22"/>
                            </w:rPr>
                            <w:instrText xml:space="preserve">PAGE  </w:instrText>
                          </w:r>
                          <w:r>
                            <w:fldChar w:fldCharType="separate"/>
                          </w:r>
                          <w:r>
                            <w:rPr>
                              <w:rStyle w:val="22"/>
                            </w:rPr>
                            <w:t>- 5 -</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8"/>
                      <w:rPr>
                        <w:rStyle w:val="22"/>
                      </w:rPr>
                    </w:pPr>
                    <w:r>
                      <w:fldChar w:fldCharType="begin"/>
                    </w:r>
                    <w:r>
                      <w:rPr>
                        <w:rStyle w:val="22"/>
                      </w:rPr>
                      <w:instrText xml:space="preserve">PAGE  </w:instrText>
                    </w:r>
                    <w:r>
                      <w:fldChar w:fldCharType="separate"/>
                    </w:r>
                    <w:r>
                      <w:rPr>
                        <w:rStyle w:val="22"/>
                      </w:rPr>
                      <w:t>- 5 -</w:t>
                    </w:r>
                    <w:r>
                      <w:fldChar w:fldCharType="end"/>
                    </w:r>
                  </w:p>
                </w:txbxContent>
              </v:textbox>
            </v:rect>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1708"/>
    <w:multiLevelType w:val="singleLevel"/>
    <w:tmpl w:val="80301708"/>
    <w:lvl w:ilvl="0" w:tentative="0">
      <w:start w:val="3"/>
      <w:numFmt w:val="chineseCounting"/>
      <w:suff w:val="nothing"/>
      <w:lvlText w:val="%1、"/>
      <w:lvlJc w:val="left"/>
      <w:rPr>
        <w:rFonts w:hint="eastAsia"/>
      </w:rPr>
    </w:lvl>
  </w:abstractNum>
  <w:abstractNum w:abstractNumId="1">
    <w:nsid w:val="08398457"/>
    <w:multiLevelType w:val="singleLevel"/>
    <w:tmpl w:val="0839845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00000000"/>
    <w:rsid w:val="09660BD3"/>
    <w:rsid w:val="3A3D7190"/>
    <w:rsid w:val="712E6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